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bookmarkStart w:id="0" w:name="_GoBack"/>
      <w:bookmarkEnd w:id="0"/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7A36E3D0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296D3B">
        <w:rPr>
          <w:rFonts w:ascii="Rawline" w:hAnsi="Rawline" w:cs="Microsoft Sans Serif"/>
          <w:sz w:val="20"/>
          <w:lang w:val="pt-PT"/>
        </w:rPr>
        <w:t>23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196395">
        <w:rPr>
          <w:rFonts w:ascii="Rawline" w:hAnsi="Rawline" w:cs="Microsoft Sans Serif"/>
          <w:sz w:val="20"/>
          <w:lang w:val="pt-PT"/>
        </w:rPr>
        <w:t>5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1F54A4B9" w:rsidR="00A93809" w:rsidRPr="00296D3B" w:rsidRDefault="002024CB" w:rsidP="00296D3B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caps/>
          <w:sz w:val="20"/>
          <w:szCs w:val="18"/>
          <w:lang w:val="pt-PT"/>
        </w:rPr>
      </w:pPr>
      <w:r w:rsidRPr="002024CB">
        <w:rPr>
          <w:rFonts w:ascii="Rawline" w:hAnsi="Rawline" w:cs="Microsoft Sans Serif"/>
          <w:b/>
          <w:sz w:val="20"/>
          <w:szCs w:val="20"/>
          <w:lang w:val="pt-PT"/>
        </w:rPr>
        <w:t>AQUISIÇÃO</w:t>
      </w:r>
      <w:r w:rsidR="00A93809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="00296D3B"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de serviços </w:t>
      </w:r>
      <w:bookmarkStart w:id="1" w:name="_Hlk103259871"/>
      <w:r w:rsidR="00296D3B" w:rsidRPr="00450CC1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 w:rsidR="00296D3B" w:rsidRPr="0012434C">
        <w:rPr>
          <w:rFonts w:ascii="Rawline" w:hAnsi="Rawline" w:cs="Microsoft Sans Serif"/>
          <w:b/>
          <w:caps/>
          <w:sz w:val="20"/>
          <w:szCs w:val="18"/>
          <w:lang w:val="pt-PT"/>
        </w:rPr>
        <w:t>ASSESSORIA JURÍDICA EM REGIME DE AVENÇA</w:t>
      </w:r>
      <w:bookmarkEnd w:id="1"/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48490388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296D3B">
        <w:rPr>
          <w:rFonts w:ascii="Rawline" w:hAnsi="Rawline" w:cs="Microsoft Sans Serif"/>
          <w:color w:val="002060"/>
          <w:sz w:val="20"/>
          <w:szCs w:val="20"/>
          <w:lang w:val="pt-PT"/>
        </w:rPr>
        <w:t>23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96D3B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296D3B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296D3B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2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6D3FE3CD" w:rsidR="00E254E6" w:rsidRPr="00C958A0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3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3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EF70AB">
        <w:rPr>
          <w:rFonts w:ascii="Rawline" w:hAnsi="Rawline" w:cs="Microsoft Sans Serif"/>
          <w:color w:val="002060"/>
          <w:sz w:val="20"/>
          <w:szCs w:val="20"/>
          <w:lang w:val="pt-PT"/>
        </w:rPr>
        <w:t>23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F70AB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EF70AB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EF70AB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1CE30E7D" w14:textId="6D251C7E" w:rsidR="00612882" w:rsidRDefault="00612882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51698A7" w14:textId="77777777" w:rsidR="00EF70AB" w:rsidRPr="002E0137" w:rsidRDefault="00EF70AB" w:rsidP="00EF70AB">
      <w:pPr>
        <w:numPr>
          <w:ilvl w:val="0"/>
          <w:numId w:val="11"/>
        </w:numPr>
        <w:spacing w:line="360" w:lineRule="auto"/>
        <w:ind w:hanging="23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Preço global proposto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11ª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4EEAF0F2" w14:textId="77777777" w:rsidR="00EF70AB" w:rsidRPr="00AF7A98" w:rsidRDefault="00EF70AB" w:rsidP="00EF70AB">
      <w:pPr>
        <w:numPr>
          <w:ilvl w:val="0"/>
          <w:numId w:val="11"/>
        </w:numPr>
        <w:spacing w:line="360" w:lineRule="auto"/>
        <w:ind w:hanging="23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 xml:space="preserve">Preço proposto para a avença mensal </w:t>
      </w:r>
      <w:r w:rsidRPr="007F01A6">
        <w:rPr>
          <w:rFonts w:ascii="Rawline" w:hAnsi="Rawline" w:cs="Microsoft Sans Serif"/>
          <w:sz w:val="20"/>
          <w:lang w:val="pt-PT"/>
        </w:rPr>
        <w:t>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11ª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2C0A6CF" w:rsidR="008C6672" w:rsidRDefault="008C6672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63CC3CD9" w14:textId="77777777" w:rsidR="00F15940" w:rsidRPr="007F01A6" w:rsidRDefault="00F15940" w:rsidP="002024CB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</w:p>
    <w:p w14:paraId="74F52951" w14:textId="0BE10E06" w:rsidR="00E85DB2" w:rsidRDefault="00274590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bookmarkStart w:id="4" w:name="_Hlk157106241"/>
      <w:r>
        <w:rPr>
          <w:rFonts w:ascii="Rawline" w:hAnsi="Rawline" w:cs="Microsoft Sans Serif"/>
          <w:sz w:val="20"/>
          <w:lang w:val="pt-PT"/>
        </w:rPr>
        <w:t>Chave para consulta do</w:t>
      </w:r>
      <w:r w:rsidR="00A82931" w:rsidRPr="00A82931">
        <w:rPr>
          <w:rFonts w:ascii="Rawline" w:hAnsi="Rawline" w:cs="Microsoft Sans Serif"/>
          <w:sz w:val="20"/>
          <w:lang w:val="pt-PT"/>
        </w:rPr>
        <w:t xml:space="preserve"> Registo Central de Beneficiário Efetivo (RCBE)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0D4BB7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="000D4BB7" w:rsidRPr="000D4BB7">
        <w:rPr>
          <w:rStyle w:val="FootnoteReference"/>
          <w:rFonts w:ascii="Rawline" w:hAnsi="Rawline" w:cs="Microsoft Sans Serif"/>
          <w:sz w:val="20"/>
          <w:lang w:val="pt-PT"/>
        </w:rPr>
        <w:t xml:space="preserve"> </w:t>
      </w:r>
      <w:r w:rsidR="000D4BB7"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bookmarkEnd w:id="4"/>
    <w:p w14:paraId="57C56D26" w14:textId="77777777" w:rsidR="00274590" w:rsidRPr="002E3228" w:rsidRDefault="00274590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AAE55C6" w:rsidR="002F4A4B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4D1D55AF" w14:textId="77777777" w:rsidR="00F15940" w:rsidRPr="00AB752E" w:rsidRDefault="00F15940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4175F462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5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5"/>
    </w:p>
    <w:p w14:paraId="652D2F89" w14:textId="7EF35C29" w:rsidR="00EF70AB" w:rsidRDefault="00EF70AB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923840F" w14:textId="77777777" w:rsidR="00EF70AB" w:rsidRDefault="00EF70AB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32131F50" w:rsidR="000D4BB7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2A51615" w14:textId="7B205EF8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3E85BC3" w14:textId="786BEDD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F8FC0C5" w14:textId="1CDBDB6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97DBE5D" w14:textId="6EC4B6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B925994" w14:textId="76747457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CA02869" w14:textId="5AE6AAE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E386E03" w14:textId="5A3BADC9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86D010" w14:textId="5C7D49A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D7F56F8" w14:textId="2FBA630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C75AE41" w14:textId="22990FE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503B601" w14:textId="2EEFC3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F23F08F" w14:textId="5E1BB674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83358EE" w14:textId="40ED349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7069C54" w14:textId="15A73E6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126F02" w14:textId="0752818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3407A08" w14:textId="3792CE2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FC1A0C" w14:textId="22071C9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5DFFEA2" w14:textId="774C6DC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A1D6096" w14:textId="782DC74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42237E" w14:textId="0388A325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BE77731" w14:textId="62BC6BA6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17AA235" w14:textId="25CFC40F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EA13C5C" w14:textId="5656041A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CE83096" w14:textId="1B3A424D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50E490F" w14:textId="18102583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7BC7DD" w14:textId="5212AE2F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1B12CD3" w14:textId="6D3D9CF8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FBBB879" w14:textId="5E81B20F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098D246" w14:textId="187C8F9D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D9E4915" w14:textId="0EB64270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11F68D5" w14:textId="4CD12DD9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D8C191" w14:textId="7EA1C5FF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5C538" w14:textId="521A6C6C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ABE55C8" w14:textId="0100DD06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92BD6D2" w14:textId="74E179E8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90E9E10" w14:textId="01A95816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8A4E3B0" w14:textId="48022808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C698AE" w14:textId="0BA8255B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ADC7D5" w14:textId="257EE5F3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048660F" w14:textId="03B04E66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DBC626B" w14:textId="559B2388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BAEFB03" w14:textId="64413B57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58E706B" w14:textId="749FB269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D8C6393" w14:textId="673EB013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F5BDDD" w14:textId="2EDBFBD1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858487B" w14:textId="0A0E2123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B19EEF7" w14:textId="477EE445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080E32" w14:textId="77777777" w:rsidR="00EF70AB" w:rsidRDefault="00EF70AB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4EB94D" w14:textId="77777777" w:rsidR="00F15940" w:rsidRPr="000D3016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2F8C8718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EF70AB">
        <w:rPr>
          <w:rFonts w:ascii="Rawline" w:hAnsi="Rawline" w:cs="Microsoft Sans Serif"/>
          <w:color w:val="002060"/>
          <w:sz w:val="20"/>
          <w:szCs w:val="20"/>
          <w:lang w:val="pt-PT"/>
        </w:rPr>
        <w:t>23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F70AB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EF70AB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EF70AB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6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6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7BD59D14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7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7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EF70AB">
        <w:rPr>
          <w:rFonts w:ascii="Rawline" w:hAnsi="Rawline" w:cs="Microsoft Sans Serif"/>
          <w:color w:val="002060"/>
          <w:sz w:val="20"/>
          <w:szCs w:val="20"/>
        </w:rPr>
        <w:t>23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</w:rPr>
        <w:t>5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EF70AB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Serviços </w:t>
      </w:r>
      <w:r w:rsidR="00EF70AB" w:rsidRPr="00AD646F">
        <w:rPr>
          <w:rFonts w:ascii="Rawline" w:hAnsi="Rawline" w:cs="Microsoft Sans Serif"/>
          <w:i/>
          <w:color w:val="002060"/>
          <w:sz w:val="20"/>
          <w:szCs w:val="20"/>
        </w:rPr>
        <w:t>de Assessoria Jurídica em Regime de Avença</w:t>
      </w:r>
      <w:r w:rsidR="00EF70AB" w:rsidRPr="0027779F">
        <w:rPr>
          <w:rFonts w:ascii="Rawline" w:hAnsi="Rawline" w:cs="Microsoft Sans Serif"/>
          <w:sz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651AD6F3-CAFB-4A04-9344-5EB4B59EC3F7}"/>
    <w:embedBold r:id="rId2" w:fontKey="{01829C85-51A7-49ED-8A0D-4984695B7EE9}"/>
    <w:embedItalic r:id="rId3" w:fontKey="{AE36D426-7DE7-477A-8040-E6EF5F42F858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DE6D541C-4A4C-458C-8870-D35C3C8AE447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EDABD51B-EB08-4D3A-A3B0-932EE4BE3896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32CB32A4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</w:t>
    </w:r>
    <w:r w:rsidR="00AE172D" w:rsidRPr="00AE172D">
      <w:rPr>
        <w:rFonts w:ascii="Rawline" w:hAnsi="Rawline" w:cs="Microsoft Sans Serif"/>
        <w:color w:val="002060"/>
        <w:sz w:val="14"/>
        <w:szCs w:val="14"/>
        <w:lang w:val="pt-PT"/>
      </w:rPr>
      <w:t>226 074 900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306EC">
      <w:rPr>
        <w:rStyle w:val="PageNumber"/>
        <w:rFonts w:ascii="Rawline" w:hAnsi="Rawline" w:cs="Microsoft Sans Serif"/>
        <w:noProof/>
        <w:color w:val="002060"/>
        <w:sz w:val="14"/>
        <w:szCs w:val="14"/>
      </w:rPr>
      <w:t>2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306EC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6155815" w14:textId="77777777" w:rsidR="000D4BB7" w:rsidRPr="000A1D31" w:rsidRDefault="000D4BB7" w:rsidP="000D4BB7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3306EC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0AD1739F" w:rsidR="00FD20F9" w:rsidRPr="00DD71A7" w:rsidRDefault="003306EC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296D3B">
      <w:rPr>
        <w:rFonts w:ascii="Rawline" w:hAnsi="Rawline" w:cs="Microsoft Sans Serif"/>
        <w:color w:val="002060"/>
        <w:sz w:val="20"/>
        <w:szCs w:val="20"/>
        <w:lang w:val="pt-PT"/>
      </w:rPr>
      <w:t>423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196395">
      <w:rPr>
        <w:rFonts w:ascii="Rawline" w:hAnsi="Rawline" w:cs="Microsoft Sans Serif"/>
        <w:color w:val="002060"/>
        <w:sz w:val="20"/>
        <w:szCs w:val="20"/>
        <w:lang w:val="pt-PT"/>
      </w:rPr>
      <w:t>25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3306EC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nXWkwmujcdJOhHJ30mwSlFtAwe+XgDPkffJ0758EbCmeC4z2+NFD6e71PZfwnB+Ri7QOpPyGt8JzIyVm+Vk8w==" w:salt="tCMvOPS2dAhc7Whlr/EO6A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98"/>
    <w:rsid w:val="000345A3"/>
    <w:rsid w:val="00052F4D"/>
    <w:rsid w:val="00063FDD"/>
    <w:rsid w:val="00066C8D"/>
    <w:rsid w:val="000675C4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96395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358F"/>
    <w:rsid w:val="00274590"/>
    <w:rsid w:val="00274BBA"/>
    <w:rsid w:val="00274C00"/>
    <w:rsid w:val="0027634F"/>
    <w:rsid w:val="002862A2"/>
    <w:rsid w:val="00296D3B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06E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27FC7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87136"/>
    <w:rsid w:val="004950DC"/>
    <w:rsid w:val="004A3B35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882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43C7E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D4A3E"/>
    <w:rsid w:val="009E6490"/>
    <w:rsid w:val="009F12E0"/>
    <w:rsid w:val="00A20B7D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172D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52821"/>
    <w:rsid w:val="00B70005"/>
    <w:rsid w:val="00B763CB"/>
    <w:rsid w:val="00B80AAE"/>
    <w:rsid w:val="00B86D03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3EBF"/>
    <w:rsid w:val="00D94AD4"/>
    <w:rsid w:val="00DA13C1"/>
    <w:rsid w:val="00DC2869"/>
    <w:rsid w:val="00DC64B4"/>
    <w:rsid w:val="00DD183E"/>
    <w:rsid w:val="00DD39B4"/>
    <w:rsid w:val="00DD71A7"/>
    <w:rsid w:val="00DD7470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0AB"/>
    <w:rsid w:val="00EF770C"/>
    <w:rsid w:val="00F07161"/>
    <w:rsid w:val="00F151EC"/>
    <w:rsid w:val="00F15940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F4DA2-DC2A-4B7F-9523-A542F7DC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1450</Words>
  <Characters>7955</Characters>
  <Application>Microsoft Office Word</Application>
  <DocSecurity>8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9387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34</cp:revision>
  <cp:lastPrinted>2010-12-13T14:39:00Z</cp:lastPrinted>
  <dcterms:created xsi:type="dcterms:W3CDTF">2024-01-26T09:03:00Z</dcterms:created>
  <dcterms:modified xsi:type="dcterms:W3CDTF">2025-05-21T10:45:00Z</dcterms:modified>
</cp:coreProperties>
</file>